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right="1"/>
        <w:jc w:val="right"/>
        <w:spacing w:before="0" w:after="0"/>
        <w:widowControl w:val="off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Вносится Губернатором</w:t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contextualSpacing/>
        <w:ind w:right="1"/>
        <w:jc w:val="right"/>
        <w:spacing w:before="0" w:after="0"/>
        <w:widowControl w:val="off"/>
        <w:rPr>
          <w:bCs/>
          <w:i/>
          <w:sz w:val="28"/>
          <w:szCs w:val="28"/>
        </w:rPr>
      </w:pPr>
      <w:r>
        <w:rPr>
          <w:i/>
          <w:sz w:val="28"/>
          <w:szCs w:val="28"/>
          <w:highlight w:val="white"/>
        </w:rPr>
        <w:t xml:space="preserve">Новосибирской области</w:t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9"/>
        <w:jc w:val="right"/>
        <w:spacing w:before="0" w:after="0"/>
        <w:rPr>
          <w:rFonts w:eastAsia="Arial"/>
          <w:i/>
          <w:sz w:val="28"/>
          <w:szCs w:val="28"/>
          <w:lang w:eastAsia="ar-SA"/>
        </w:rPr>
      </w:pPr>
      <w:r>
        <w:rPr>
          <w:rFonts w:eastAsia="Arial"/>
          <w:i/>
          <w:sz w:val="28"/>
          <w:szCs w:val="28"/>
          <w:lang w:eastAsia="ar-SA"/>
        </w:rPr>
        <w:t xml:space="preserve">Прокурором</w:t>
      </w:r>
      <w:r>
        <w:rPr>
          <w:rFonts w:eastAsia="Arial"/>
          <w:i/>
          <w:sz w:val="28"/>
          <w:szCs w:val="28"/>
          <w:lang w:eastAsia="ar-SA"/>
        </w:rPr>
      </w:r>
      <w:r>
        <w:rPr>
          <w:rFonts w:eastAsia="Arial"/>
          <w:i/>
          <w:sz w:val="28"/>
          <w:szCs w:val="28"/>
          <w:lang w:eastAsia="ar-SA"/>
        </w:rPr>
      </w:r>
    </w:p>
    <w:p>
      <w:pPr>
        <w:ind w:firstLine="709"/>
        <w:jc w:val="right"/>
        <w:spacing w:before="0" w:after="0"/>
        <w:rPr>
          <w:rFonts w:eastAsia="Arial"/>
          <w:i/>
          <w:sz w:val="28"/>
          <w:szCs w:val="28"/>
          <w:lang w:eastAsia="ar-SA"/>
        </w:rPr>
      </w:pPr>
      <w:r>
        <w:rPr>
          <w:rFonts w:eastAsia="Arial"/>
          <w:i/>
          <w:sz w:val="28"/>
          <w:szCs w:val="28"/>
          <w:lang w:eastAsia="ar-SA"/>
        </w:rPr>
        <w:t xml:space="preserve">Новосибирской области</w:t>
      </w:r>
      <w:r>
        <w:rPr>
          <w:rFonts w:eastAsia="Arial"/>
          <w:i/>
          <w:sz w:val="28"/>
          <w:szCs w:val="28"/>
          <w:lang w:eastAsia="ar-SA"/>
        </w:rPr>
      </w:r>
      <w:r>
        <w:rPr>
          <w:rFonts w:eastAsia="Arial"/>
          <w:i/>
          <w:sz w:val="28"/>
          <w:szCs w:val="28"/>
          <w:lang w:eastAsia="ar-SA"/>
        </w:rPr>
      </w:r>
    </w:p>
    <w:p>
      <w:pPr>
        <w:ind w:firstLine="709"/>
        <w:jc w:val="center"/>
        <w:spacing w:before="0" w:after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</w:r>
      <w:r>
        <w:rPr>
          <w:rFonts w:eastAsia="Arial"/>
          <w:sz w:val="28"/>
          <w:szCs w:val="28"/>
          <w:lang w:eastAsia="ar-SA"/>
        </w:rPr>
      </w:r>
      <w:r>
        <w:rPr>
          <w:rFonts w:eastAsia="Arial"/>
          <w:sz w:val="28"/>
          <w:szCs w:val="28"/>
          <w:lang w:eastAsia="ar-SA"/>
        </w:rPr>
      </w:r>
    </w:p>
    <w:p>
      <w:pPr>
        <w:ind w:firstLine="709"/>
        <w:jc w:val="right"/>
        <w:spacing w:before="0" w:after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 xml:space="preserve">Проект № _________</w:t>
      </w:r>
      <w:r>
        <w:rPr>
          <w:rFonts w:eastAsia="Arial"/>
          <w:sz w:val="28"/>
          <w:szCs w:val="28"/>
          <w:lang w:eastAsia="ar-SA"/>
        </w:rPr>
      </w:r>
      <w:r>
        <w:rPr>
          <w:rFonts w:eastAsia="Arial"/>
          <w:sz w:val="28"/>
          <w:szCs w:val="28"/>
          <w:lang w:eastAsia="ar-SA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sz w:val="40"/>
          <w:szCs w:val="40"/>
          <w:highlight w:val="white"/>
        </w:rPr>
      </w:pPr>
      <w:r>
        <w:rPr>
          <w:b/>
          <w:sz w:val="40"/>
          <w:szCs w:val="40"/>
          <w:highlight w:val="white"/>
        </w:rPr>
        <w:t xml:space="preserve">ЗАКОН</w:t>
      </w:r>
      <w:r>
        <w:rPr>
          <w:b/>
          <w:sz w:val="40"/>
          <w:szCs w:val="40"/>
          <w:highlight w:val="white"/>
        </w:rPr>
      </w:r>
      <w:r>
        <w:rPr>
          <w:b/>
          <w:sz w:val="40"/>
          <w:szCs w:val="40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sz w:val="40"/>
          <w:szCs w:val="40"/>
          <w:highlight w:val="white"/>
        </w:rPr>
      </w:pPr>
      <w:r>
        <w:rPr>
          <w:b/>
          <w:sz w:val="40"/>
          <w:szCs w:val="40"/>
          <w:highlight w:val="white"/>
        </w:rPr>
        <w:t xml:space="preserve">НОВОСИБИРСКОЙ ОБЛАСТИ</w:t>
      </w:r>
      <w:r>
        <w:rPr>
          <w:b/>
          <w:sz w:val="40"/>
          <w:szCs w:val="40"/>
          <w:highlight w:val="white"/>
        </w:rPr>
      </w:r>
      <w:r>
        <w:rPr>
          <w:b/>
          <w:sz w:val="40"/>
          <w:szCs w:val="40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bCs/>
          <w:spacing w:val="-2"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О внесении изменений в </w:t>
      </w:r>
      <w:r>
        <w:rPr>
          <w:b/>
          <w:sz w:val="28"/>
          <w:szCs w:val="28"/>
          <w:highlight w:val="white"/>
        </w:rPr>
        <w:t xml:space="preserve">статью 1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Закон</w:t>
      </w:r>
      <w:r>
        <w:rPr>
          <w:b/>
          <w:sz w:val="28"/>
          <w:szCs w:val="28"/>
          <w:highlight w:val="white"/>
        </w:rPr>
        <w:t xml:space="preserve">а</w:t>
      </w:r>
      <w:r>
        <w:rPr>
          <w:b/>
          <w:sz w:val="28"/>
          <w:szCs w:val="28"/>
          <w:highlight w:val="white"/>
        </w:rPr>
        <w:t xml:space="preserve"> Новосибирской области </w:t>
      </w:r>
      <w:r>
        <w:rPr>
          <w:b/>
          <w:sz w:val="28"/>
          <w:szCs w:val="28"/>
          <w:highlight w:val="white"/>
        </w:rPr>
      </w:r>
      <w:r>
        <w:rPr>
          <w:b/>
          <w:bCs/>
          <w:spacing w:val="-2"/>
          <w:sz w:val="28"/>
          <w:szCs w:val="28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bCs/>
          <w:sz w:val="28"/>
          <w:szCs w:val="28"/>
          <w:highlight w:val="yellow"/>
        </w:rPr>
      </w:pPr>
      <w:r>
        <w:rPr>
          <w:b/>
          <w:bCs/>
          <w:spacing w:val="-2"/>
          <w:sz w:val="28"/>
          <w:szCs w:val="28"/>
          <w:highlight w:val="white"/>
        </w:rPr>
        <w:t xml:space="preserve">«Об у</w:t>
      </w:r>
      <w:r>
        <w:rPr>
          <w:b/>
          <w:bCs/>
          <w:spacing w:val="-2"/>
          <w:sz w:val="28"/>
          <w:szCs w:val="28"/>
          <w:highlight w:val="white"/>
        </w:rPr>
        <w:t xml:space="preserve">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 </w:t>
      </w:r>
      <w:r>
        <w:rPr>
          <w:b/>
          <w:bCs/>
          <w:spacing w:val="-2"/>
          <w:sz w:val="28"/>
          <w:szCs w:val="28"/>
        </w:rPr>
        <w:t xml:space="preserve">и регулировании отдельных отношений, связанных с реализаций масштабных инвестиционных проектов на территории Новосибирской области</w:t>
      </w:r>
      <w:r>
        <w:rPr>
          <w:b/>
          <w:bCs/>
          <w:sz w:val="28"/>
          <w:szCs w:val="28"/>
          <w:highlight w:val="yellow"/>
        </w:rPr>
      </w:r>
      <w:r>
        <w:rPr>
          <w:b/>
          <w:bCs/>
          <w:sz w:val="28"/>
          <w:szCs w:val="28"/>
          <w:highlight w:val="yellow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Статья 1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b/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Внести в пункт 2 части 1 статьи 1 Закона Новосибирской области от 1 июля 2015 года </w:t>
      </w:r>
      <w:r>
        <w:rPr>
          <w:sz w:val="28"/>
          <w:szCs w:val="28"/>
          <w:highlight w:val="white"/>
        </w:rPr>
        <w:t xml:space="preserve">№</w:t>
      </w:r>
      <w:r>
        <w:rPr>
          <w:sz w:val="28"/>
          <w:szCs w:val="28"/>
          <w:highlight w:val="white"/>
        </w:rPr>
        <w:t xml:space="preserve"> 583-ОЗ «Об 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</w:t>
      </w:r>
      <w:r>
        <w:rPr>
          <w:sz w:val="28"/>
          <w:szCs w:val="28"/>
          <w:highlight w:val="white"/>
        </w:rPr>
        <w:t xml:space="preserve">ения торгов» (с изменениями, внесенными Законами Новосибирской области от 29 июня 2016 года № 76-ОЗ, от 5 декабря 2016 года № 112-ОЗ, от 7 мая 2018 года № 258-ОЗ, от 24 декабря 2018 года № 330-ОЗ, от 6 мая 2019 года № 368-ОЗ, от 1 июля 2019 года № 395-ОЗ, </w:t>
      </w:r>
      <w:r>
        <w:rPr>
          <w:spacing w:val="-2"/>
          <w:sz w:val="28"/>
          <w:szCs w:val="28"/>
          <w:highlight w:val="white"/>
        </w:rPr>
        <w:t xml:space="preserve">от 14 июля 2020 года № 491-ОЗ, от 1 июня 2022 года № 209-ОЗ, от 14 июля 2022 года № 239-ОЗ, от 4 октября 2023 года № 381-ОЗ</w:t>
      </w:r>
      <w:r>
        <w:rPr>
          <w:sz w:val="28"/>
          <w:szCs w:val="28"/>
          <w:highlight w:val="white"/>
        </w:rPr>
        <w:t xml:space="preserve">, от 5 декабря 2024 года № 533-ОЗ, от 5 февраля 2025 </w:t>
      </w:r>
      <w:r>
        <w:rPr>
          <w:sz w:val="28"/>
          <w:szCs w:val="28"/>
          <w:highlight w:val="white"/>
        </w:rPr>
        <w:t xml:space="preserve">года </w:t>
      </w:r>
      <w:r>
        <w:rPr>
          <w:sz w:val="28"/>
          <w:szCs w:val="28"/>
          <w:highlight w:val="white"/>
        </w:rPr>
        <w:t xml:space="preserve">№ 552-ОЗ, от 9 июля 2025 года № 613-ОЗ) следующие изменения: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</w:rPr>
        <w:t xml:space="preserve">1) </w:t>
      </w:r>
      <w:r>
        <w:rPr>
          <w:color w:val="000000" w:themeColor="text1"/>
          <w:sz w:val="28"/>
          <w:szCs w:val="28"/>
        </w:rPr>
        <w:t xml:space="preserve">слова «</w:t>
      </w:r>
      <w:r>
        <w:rPr>
          <w:color w:val="000000" w:themeColor="text1"/>
          <w:sz w:val="28"/>
          <w:szCs w:val="28"/>
          <w:highlight w:val="white"/>
        </w:rPr>
        <w:t xml:space="preserve">не менее </w:t>
      </w:r>
      <w:r>
        <w:rPr>
          <w:color w:val="000000" w:themeColor="text1"/>
          <w:sz w:val="28"/>
          <w:szCs w:val="28"/>
          <w:highlight w:val="white"/>
        </w:rPr>
        <w:t xml:space="preserve">2,5 процента</w:t>
      </w:r>
      <w:r>
        <w:rPr>
          <w:color w:val="000000" w:themeColor="text1"/>
          <w:sz w:val="28"/>
          <w:szCs w:val="28"/>
          <w:highlight w:val="white"/>
        </w:rPr>
        <w:t xml:space="preserve">» заменить словами «не менее 0,5 процента</w:t>
      </w:r>
      <w:r>
        <w:rPr>
          <w:color w:val="000000" w:themeColor="text1"/>
          <w:sz w:val="28"/>
          <w:szCs w:val="28"/>
          <w:highlight w:val="white"/>
        </w:rPr>
        <w:t xml:space="preserve">»;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iCs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2) слова «не менее 30 м</w:t>
      </w:r>
      <w:r>
        <w:rPr>
          <w:color w:val="000000" w:themeColor="text1"/>
          <w:sz w:val="28"/>
          <w:szCs w:val="28"/>
          <w:highlight w:val="white"/>
        </w:rPr>
        <w:t xml:space="preserve">иллионов</w:t>
      </w:r>
      <w:r>
        <w:rPr>
          <w:color w:val="000000" w:themeColor="text1"/>
          <w:sz w:val="28"/>
          <w:szCs w:val="28"/>
          <w:highlight w:val="white"/>
        </w:rPr>
        <w:t xml:space="preserve">» заменить словами «не менее 60 м</w:t>
      </w:r>
      <w:r>
        <w:rPr>
          <w:color w:val="000000" w:themeColor="text1"/>
          <w:sz w:val="28"/>
          <w:szCs w:val="28"/>
          <w:highlight w:val="white"/>
        </w:rPr>
        <w:t xml:space="preserve">л</w:t>
      </w:r>
      <w:r>
        <w:rPr>
          <w:color w:val="000000" w:themeColor="text1"/>
          <w:sz w:val="28"/>
          <w:szCs w:val="28"/>
          <w:highlight w:val="white"/>
        </w:rPr>
        <w:t xml:space="preserve">н</w:t>
      </w:r>
      <w:r>
        <w:rPr>
          <w:color w:val="000000" w:themeColor="text1"/>
          <w:sz w:val="28"/>
          <w:szCs w:val="28"/>
          <w:highlight w:val="white"/>
        </w:rPr>
        <w:t xml:space="preserve">»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iCs/>
          <w:color w:val="000000" w:themeColor="text1"/>
          <w:sz w:val="28"/>
          <w:szCs w:val="28"/>
          <w:highlight w:val="white"/>
        </w:rPr>
      </w:r>
      <w:r>
        <w:rPr>
          <w:iCs/>
          <w:color w:val="000000" w:themeColor="text1"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540"/>
        <w:jc w:val="both"/>
        <w:spacing w:before="0" w:after="0" w:line="288" w:lineRule="atLeast"/>
        <w:rPr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  <w:highlight w:val="white"/>
        </w:rPr>
        <w:t xml:space="preserve">Статья 2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540"/>
        <w:jc w:val="both"/>
        <w:spacing w:before="0" w:after="0" w:line="288" w:lineRule="atLeast"/>
        <w:rPr>
          <w:b/>
          <w:bCs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8"/>
          <w:szCs w:val="28"/>
          <w:highlight w:val="white"/>
        </w:rPr>
        <w:t xml:space="preserve">В случае, если на </w:t>
      </w:r>
      <w:r>
        <w:rPr>
          <w:color w:val="000000" w:themeColor="text1"/>
          <w:sz w:val="28"/>
          <w:szCs w:val="28"/>
        </w:rPr>
        <w:t xml:space="preserve">момент истечения срока исполнения обязательства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</w:rPr>
        <w:t xml:space="preserve">по пе</w:t>
      </w:r>
      <w:r>
        <w:rPr>
          <w:color w:val="000000" w:themeColor="text1"/>
          <w:sz w:val="28"/>
          <w:szCs w:val="28"/>
        </w:rPr>
        <w:t xml:space="preserve">редаче жилых помещений </w:t>
      </w:r>
      <w:r>
        <w:rPr>
          <w:color w:val="000000" w:themeColor="text1"/>
          <w:sz w:val="28"/>
          <w:szCs w:val="28"/>
        </w:rPr>
        <w:t xml:space="preserve">при реализации масштабных инвестиционных проектов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в соответствии с </w:t>
      </w:r>
      <w:r>
        <w:rPr>
          <w:color w:val="000000" w:themeColor="text1"/>
          <w:sz w:val="28"/>
          <w:szCs w:val="28"/>
        </w:rPr>
        <w:t xml:space="preserve">пунктом 2 части 1 статьи 1 Закона Новосибирской области от 1 июля 2015 года № 583-ОЗ «Об установлении критериев, которым должны соответствовать объекты социально-куль</w:t>
      </w:r>
      <w:r>
        <w:rPr>
          <w:color w:val="000000" w:themeColor="text1"/>
          <w:sz w:val="28"/>
          <w:szCs w:val="28"/>
        </w:rPr>
        <w:t xml:space="preserve">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 </w:t>
      </w:r>
      <w:r>
        <w:rPr>
          <w:color w:val="000000" w:themeColor="text1"/>
          <w:sz w:val="28"/>
          <w:szCs w:val="28"/>
        </w:rPr>
        <w:t xml:space="preserve">граждане, пострадавшие от действий застройщиков, не исполнивших свои обязат</w:t>
      </w:r>
      <w:r>
        <w:rPr>
          <w:color w:val="000000" w:themeColor="text1"/>
          <w:sz w:val="28"/>
          <w:szCs w:val="28"/>
        </w:rPr>
        <w:t xml:space="preserve">ельства по передаче жилых помещений перед гражданами, вложившими денежные средства в строительство многоквартирных домов на территории Новосибирской области, отсутствуют либо </w:t>
      </w:r>
      <w:r>
        <w:rPr>
          <w:color w:val="000000" w:themeColor="text1"/>
          <w:sz w:val="28"/>
          <w:szCs w:val="28"/>
          <w:highlight w:val="white"/>
        </w:rPr>
        <w:t xml:space="preserve">не выразили согласие </w:t>
      </w:r>
      <w:r>
        <w:rPr>
          <w:color w:val="000000" w:themeColor="text1"/>
          <w:sz w:val="28"/>
          <w:szCs w:val="28"/>
        </w:rPr>
        <w:t xml:space="preserve">на получение предоставляемого жилого помещения, </w:t>
      </w:r>
      <w:r>
        <w:rPr>
          <w:color w:val="000000" w:themeColor="text1"/>
          <w:sz w:val="28"/>
          <w:szCs w:val="28"/>
        </w:rPr>
        <w:t xml:space="preserve">инициатор пр</w:t>
      </w:r>
      <w:r>
        <w:rPr>
          <w:color w:val="000000" w:themeColor="text1"/>
          <w:sz w:val="28"/>
          <w:szCs w:val="28"/>
        </w:rPr>
        <w:t xml:space="preserve">оекта вправе </w:t>
      </w:r>
      <w:r>
        <w:rPr>
          <w:color w:val="000000" w:themeColor="text1"/>
          <w:sz w:val="28"/>
          <w:szCs w:val="28"/>
        </w:rPr>
        <w:t xml:space="preserve">использовать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один из следующих способов исполнения обязательства по передаче жилых помещений в соответствии с порядком, установленным Правительством Новосибирской области</w:t>
      </w:r>
      <w:r>
        <w:rPr>
          <w:color w:val="000000" w:themeColor="text1"/>
          <w:sz w:val="28"/>
          <w:szCs w:val="28"/>
        </w:rPr>
        <w:t xml:space="preserve">:</w:t>
      </w:r>
      <w:r/>
    </w:p>
    <w:p>
      <w:pPr>
        <w:ind w:right="143" w:firstLine="567"/>
        <w:jc w:val="both"/>
        <w:spacing w:before="0" w:after="0"/>
        <w:widowControl w:val="off"/>
        <w:rPr>
          <w:strike/>
          <w:color w:val="000000" w:themeColor="text1"/>
          <w:sz w:val="28"/>
          <w:szCs w:val="28"/>
          <w:highlight w:val="white"/>
        </w:rPr>
      </w:pPr>
      <w:r>
        <w:rPr>
          <w:strike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highlight w:val="white"/>
        </w:rPr>
        <w:t xml:space="preserve">1</w:t>
      </w:r>
      <w:r>
        <w:rPr>
          <w:color w:val="000000" w:themeColor="text1"/>
          <w:sz w:val="28"/>
          <w:szCs w:val="28"/>
          <w:highlight w:val="white"/>
        </w:rPr>
        <w:t xml:space="preserve">) путем передачи </w:t>
      </w:r>
      <w:r>
        <w:rPr>
          <w:color w:val="000000" w:themeColor="text1"/>
          <w:sz w:val="28"/>
          <w:szCs w:val="28"/>
        </w:rPr>
        <w:t xml:space="preserve">жилых помещений</w:t>
      </w:r>
      <w:r>
        <w:rPr>
          <w:color w:val="000000" w:themeColor="text1"/>
          <w:sz w:val="28"/>
          <w:szCs w:val="28"/>
          <w:highlight w:val="white"/>
        </w:rPr>
        <w:t xml:space="preserve"> в собственность Новосибирской области для последующего предоставления детям-сиротам и детям, оставшимся без попечения родителей, лицам из числа де</w:t>
      </w:r>
      <w:r>
        <w:rPr>
          <w:color w:val="000000" w:themeColor="text1"/>
          <w:sz w:val="28"/>
          <w:szCs w:val="28"/>
          <w:highlight w:val="white"/>
        </w:rPr>
        <w:t xml:space="preserve">тей-сирот и детей, оставшихся без попечения родителей, в соответствии с федеральным законодательством и законодательством Новосибирской области;</w:t>
      </w:r>
      <w:r>
        <w:rPr>
          <w:strike/>
          <w:color w:val="000000" w:themeColor="text1"/>
          <w:sz w:val="28"/>
          <w:szCs w:val="28"/>
          <w:highlight w:val="white"/>
        </w:rPr>
      </w:r>
      <w:r>
        <w:rPr>
          <w:strike/>
          <w:color w:val="000000" w:themeColor="text1"/>
          <w:sz w:val="28"/>
          <w:szCs w:val="28"/>
          <w:highlight w:val="white"/>
        </w:rPr>
      </w:r>
    </w:p>
    <w:p>
      <w:pPr>
        <w:ind w:firstLine="567"/>
        <w:jc w:val="both"/>
        <w:spacing w:before="0" w:after="0"/>
        <w:rPr>
          <w:sz w:val="28"/>
          <w:szCs w:val="28"/>
        </w:rPr>
      </w:pPr>
      <w:r>
        <w:rPr>
          <w:color w:val="000000" w:themeColor="text1"/>
          <w:sz w:val="28"/>
          <w:szCs w:val="28"/>
          <w:highlight w:val="white"/>
        </w:rPr>
        <w:t xml:space="preserve">2</w:t>
      </w:r>
      <w:r>
        <w:rPr>
          <w:color w:val="000000" w:themeColor="text1"/>
          <w:sz w:val="28"/>
          <w:szCs w:val="28"/>
          <w:highlight w:val="white"/>
        </w:rPr>
        <w:t xml:space="preserve">) путем </w:t>
      </w:r>
      <w:r>
        <w:rPr>
          <w:color w:val="000000" w:themeColor="text1"/>
          <w:sz w:val="28"/>
          <w:szCs w:val="28"/>
        </w:rPr>
        <w:t xml:space="preserve">передачи жилых помещений в собственность муниципального образования, в границах которого осуществляетс</w:t>
      </w:r>
      <w:r>
        <w:rPr>
          <w:color w:val="000000" w:themeColor="text1"/>
          <w:sz w:val="28"/>
          <w:szCs w:val="28"/>
        </w:rPr>
        <w:t xml:space="preserve">я реализация масштабного инвестиционного проекта, для последующег</w:t>
      </w:r>
      <w:r>
        <w:rPr>
          <w:color w:val="000000"/>
          <w:sz w:val="28"/>
          <w:szCs w:val="28"/>
        </w:rPr>
        <w:t xml:space="preserve">о расселения нанимателей и собственников жилых помещений, расположенных в домах, признанных в установленном Правительством Российской Федерации порядке аварийными и подлежащими сносу.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 w:firstLine="567"/>
        <w:jc w:val="both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78"/>
        <w:ind w:left="0" w:right="143" w:firstLine="567"/>
        <w:jc w:val="both"/>
        <w:spacing w:after="0"/>
        <w:tabs>
          <w:tab w:val="left" w:pos="567" w:leader="none"/>
        </w:tabs>
        <w:rPr>
          <w:b/>
          <w:bCs/>
        </w:rPr>
      </w:pPr>
      <w:r>
        <w:rPr>
          <w:b/>
        </w:rPr>
        <w:t xml:space="preserve">Статья</w:t>
      </w:r>
      <w:r>
        <w:rPr>
          <w:b/>
        </w:rPr>
        <w:t xml:space="preserve"> 3</w:t>
      </w:r>
      <w:r>
        <w:rPr>
          <w:b/>
          <w:bCs/>
        </w:rPr>
      </w:r>
      <w:r>
        <w:rPr>
          <w:b/>
          <w:bCs/>
        </w:rPr>
      </w:r>
    </w:p>
    <w:p>
      <w:pPr>
        <w:pStyle w:val="878"/>
        <w:ind w:left="0" w:right="143" w:firstLine="567"/>
        <w:jc w:val="both"/>
        <w:spacing w:after="0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143" w:firstLine="567"/>
        <w:jc w:val="both"/>
        <w:spacing w:before="0" w:after="0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 Настоящий Закон вступает в силу со дня, следующего за днем его официаль</w:t>
      </w:r>
      <w:r>
        <w:rPr>
          <w:color w:val="000000" w:themeColor="text1"/>
          <w:sz w:val="28"/>
          <w:szCs w:val="28"/>
          <w:highlight w:val="white"/>
        </w:rPr>
        <w:t xml:space="preserve">ного опубликования.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2. </w:t>
      </w:r>
      <w:r>
        <w:rPr>
          <w:color w:val="000000" w:themeColor="text1"/>
          <w:sz w:val="28"/>
          <w:szCs w:val="28"/>
        </w:rPr>
        <w:t xml:space="preserve">Положения статьи 2 настоящего </w:t>
      </w:r>
      <w:r>
        <w:rPr>
          <w:color w:val="000000" w:themeColor="text1"/>
          <w:sz w:val="28"/>
          <w:szCs w:val="28"/>
        </w:rPr>
        <w:t xml:space="preserve">Закона применяются</w:t>
      </w:r>
      <w:r>
        <w:rPr>
          <w:color w:val="000000" w:themeColor="text1"/>
          <w:sz w:val="28"/>
          <w:szCs w:val="28"/>
        </w:rPr>
        <w:t xml:space="preserve"> к правоотношениям, возникшим с 1 января 2022 года.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right="143" w:firstLine="567"/>
        <w:jc w:val="both"/>
        <w:spacing w:before="0" w:after="0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right="143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Губернатор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А.А. Травников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«____» _______</w:t>
      </w:r>
      <w:r>
        <w:rPr>
          <w:sz w:val="28"/>
          <w:szCs w:val="28"/>
          <w:highlight w:val="white"/>
        </w:rPr>
        <w:t xml:space="preserve">____ 2026 г.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№ _______________ – ОЗ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9" w:h="16834" w:orient="portrait"/>
      <w:pgMar w:top="1134" w:right="567" w:bottom="1134" w:left="1418" w:header="720" w:footer="720" w:gutter="0"/>
      <w:pgNumType w:start="1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85418033"/>
      <w:docPartObj>
        <w:docPartGallery w:val="Page Numbers (Top of Page)"/>
        <w:docPartUnique w:val="true"/>
      </w:docPartObj>
      <w:rPr/>
    </w:sdtPr>
    <w:sdtContent>
      <w:p>
        <w:pPr>
          <w:pStyle w:val="876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</w:instrText>
        </w:r>
        <w:r>
          <w:rPr>
            <w:sz w:val="20"/>
            <w:szCs w:val="20"/>
          </w:rPr>
          <w:instrText xml:space="preserve">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qFormat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0">
    <w:name w:val="Heading 1"/>
    <w:basedOn w:val="679"/>
    <w:next w:val="679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685">
    <w:name w:val="Heading 6"/>
    <w:basedOn w:val="679"/>
    <w:next w:val="679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679"/>
    <w:next w:val="679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9"/>
    <w:next w:val="679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9"/>
    <w:next w:val="679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basedOn w:val="689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Heading 2 Char"/>
    <w:basedOn w:val="689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basedOn w:val="689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basedOn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basedOn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basedOn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basedOn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basedOn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basedOn w:val="689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basedOn w:val="689"/>
    <w:uiPriority w:val="10"/>
    <w:rPr>
      <w:sz w:val="48"/>
      <w:szCs w:val="48"/>
    </w:rPr>
  </w:style>
  <w:style w:type="character" w:styleId="702" w:customStyle="1">
    <w:name w:val="Subtitle Char"/>
    <w:basedOn w:val="689"/>
    <w:uiPriority w:val="11"/>
    <w:rPr>
      <w:sz w:val="24"/>
      <w:szCs w:val="24"/>
    </w:rPr>
  </w:style>
  <w:style w:type="character" w:styleId="703" w:customStyle="1">
    <w:name w:val="Quote Char"/>
    <w:uiPriority w:val="29"/>
    <w:rPr>
      <w:i/>
    </w:rPr>
  </w:style>
  <w:style w:type="character" w:styleId="704" w:customStyle="1">
    <w:name w:val="Intense Quote Char"/>
    <w:uiPriority w:val="30"/>
    <w:rPr>
      <w:i/>
    </w:rPr>
  </w:style>
  <w:style w:type="character" w:styleId="705" w:customStyle="1">
    <w:name w:val="Footer Char"/>
    <w:basedOn w:val="689"/>
    <w:uiPriority w:val="99"/>
  </w:style>
  <w:style w:type="character" w:styleId="706" w:customStyle="1">
    <w:name w:val="Caption Char"/>
    <w:basedOn w:val="689"/>
    <w:uiPriority w:val="35"/>
    <w:rPr>
      <w:b/>
      <w:bCs/>
      <w:color w:val="4472c4" w:themeColor="accent1"/>
      <w:sz w:val="18"/>
      <w:szCs w:val="18"/>
    </w:rPr>
  </w:style>
  <w:style w:type="character" w:styleId="707" w:customStyle="1">
    <w:name w:val="Footnote Text Char"/>
    <w:uiPriority w:val="99"/>
    <w:rPr>
      <w:sz w:val="18"/>
    </w:rPr>
  </w:style>
  <w:style w:type="character" w:styleId="708" w:customStyle="1">
    <w:name w:val="Endnote Text Char"/>
    <w:uiPriority w:val="99"/>
    <w:rPr>
      <w:sz w:val="20"/>
    </w:rPr>
  </w:style>
  <w:style w:type="character" w:styleId="709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711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No Spacing"/>
    <w:uiPriority w:val="1"/>
    <w:qFormat/>
    <w:pPr>
      <w:spacing w:after="0" w:line="240" w:lineRule="auto"/>
    </w:pPr>
  </w:style>
  <w:style w:type="paragraph" w:styleId="719">
    <w:name w:val="Title"/>
    <w:basedOn w:val="679"/>
    <w:next w:val="679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Заголовок Знак"/>
    <w:basedOn w:val="689"/>
    <w:link w:val="719"/>
    <w:uiPriority w:val="10"/>
    <w:rPr>
      <w:sz w:val="48"/>
      <w:szCs w:val="48"/>
    </w:rPr>
  </w:style>
  <w:style w:type="paragraph" w:styleId="721">
    <w:name w:val="Subtitle"/>
    <w:basedOn w:val="679"/>
    <w:next w:val="679"/>
    <w:link w:val="722"/>
    <w:uiPriority w:val="11"/>
    <w:qFormat/>
    <w:pPr>
      <w:spacing w:before="200" w:after="200"/>
    </w:pPr>
    <w:rPr>
      <w:szCs w:val="24"/>
    </w:rPr>
  </w:style>
  <w:style w:type="character" w:styleId="722" w:customStyle="1">
    <w:name w:val="Подзаголовок Знак"/>
    <w:basedOn w:val="689"/>
    <w:link w:val="721"/>
    <w:uiPriority w:val="11"/>
    <w:rPr>
      <w:sz w:val="24"/>
      <w:szCs w:val="24"/>
    </w:rPr>
  </w:style>
  <w:style w:type="paragraph" w:styleId="723">
    <w:name w:val="Quote"/>
    <w:basedOn w:val="679"/>
    <w:next w:val="679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79"/>
    <w:next w:val="679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character" w:styleId="727" w:customStyle="1">
    <w:name w:val="Header Char"/>
    <w:basedOn w:val="689"/>
    <w:uiPriority w:val="99"/>
  </w:style>
  <w:style w:type="paragraph" w:styleId="728">
    <w:name w:val="Footer"/>
    <w:basedOn w:val="679"/>
    <w:link w:val="729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character" w:styleId="729" w:customStyle="1">
    <w:name w:val="Нижний колонтитул Знак"/>
    <w:basedOn w:val="689"/>
    <w:link w:val="728"/>
    <w:uiPriority w:val="99"/>
  </w:style>
  <w:style w:type="paragraph" w:styleId="730">
    <w:name w:val="Caption"/>
    <w:basedOn w:val="679"/>
    <w:next w:val="679"/>
    <w:link w:val="73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31" w:customStyle="1">
    <w:name w:val="Название объекта Знак"/>
    <w:basedOn w:val="689"/>
    <w:link w:val="730"/>
    <w:uiPriority w:val="35"/>
    <w:rPr>
      <w:b/>
      <w:bCs/>
      <w:color w:val="4472c4" w:themeColor="accent1"/>
      <w:sz w:val="18"/>
      <w:szCs w:val="18"/>
    </w:rPr>
  </w:style>
  <w:style w:type="table" w:styleId="732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3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4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62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3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4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5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66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7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4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5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76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7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8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9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0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1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4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25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6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7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8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29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0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39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0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1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2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43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4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6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7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8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9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50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1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2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53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4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5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6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57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8">
    <w:name w:val="Hyperlink"/>
    <w:uiPriority w:val="99"/>
    <w:unhideWhenUsed/>
    <w:rPr>
      <w:color w:val="0563c1" w:themeColor="hyperlink"/>
      <w:u w:val="single"/>
    </w:rPr>
  </w:style>
  <w:style w:type="paragraph" w:styleId="859">
    <w:name w:val="footnote text"/>
    <w:basedOn w:val="679"/>
    <w:link w:val="860"/>
    <w:uiPriority w:val="99"/>
    <w:semiHidden/>
    <w:unhideWhenUsed/>
    <w:pPr>
      <w:spacing w:after="40"/>
    </w:pPr>
    <w:rPr>
      <w:sz w:val="18"/>
    </w:rPr>
  </w:style>
  <w:style w:type="character" w:styleId="860" w:customStyle="1">
    <w:name w:val="Текст сноски Знак"/>
    <w:link w:val="859"/>
    <w:uiPriority w:val="99"/>
    <w:rPr>
      <w:sz w:val="18"/>
    </w:rPr>
  </w:style>
  <w:style w:type="character" w:styleId="861">
    <w:name w:val="footnote reference"/>
    <w:basedOn w:val="689"/>
    <w:uiPriority w:val="99"/>
    <w:unhideWhenUsed/>
    <w:rPr>
      <w:vertAlign w:val="superscript"/>
    </w:rPr>
  </w:style>
  <w:style w:type="paragraph" w:styleId="862">
    <w:name w:val="endnote text"/>
    <w:basedOn w:val="679"/>
    <w:link w:val="863"/>
    <w:uiPriority w:val="99"/>
    <w:semiHidden/>
    <w:unhideWhenUsed/>
    <w:pPr>
      <w:spacing w:after="0"/>
    </w:pPr>
    <w:rPr>
      <w:sz w:val="20"/>
    </w:rPr>
  </w:style>
  <w:style w:type="character" w:styleId="863" w:customStyle="1">
    <w:name w:val="Текст концевой сноски Знак"/>
    <w:link w:val="862"/>
    <w:uiPriority w:val="99"/>
    <w:rPr>
      <w:sz w:val="20"/>
    </w:rPr>
  </w:style>
  <w:style w:type="character" w:styleId="864">
    <w:name w:val="endnote reference"/>
    <w:basedOn w:val="689"/>
    <w:uiPriority w:val="99"/>
    <w:semiHidden/>
    <w:unhideWhenUsed/>
    <w:rPr>
      <w:vertAlign w:val="superscript"/>
    </w:rPr>
  </w:style>
  <w:style w:type="paragraph" w:styleId="865">
    <w:name w:val="toc 1"/>
    <w:basedOn w:val="679"/>
    <w:next w:val="679"/>
    <w:uiPriority w:val="39"/>
    <w:unhideWhenUsed/>
    <w:pPr>
      <w:spacing w:after="57"/>
    </w:pPr>
  </w:style>
  <w:style w:type="paragraph" w:styleId="866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67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68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69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70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71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72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73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679"/>
    <w:next w:val="679"/>
    <w:uiPriority w:val="99"/>
    <w:unhideWhenUsed/>
    <w:pPr>
      <w:spacing w:after="0"/>
    </w:pPr>
  </w:style>
  <w:style w:type="paragraph" w:styleId="876">
    <w:name w:val="Header"/>
    <w:basedOn w:val="679"/>
    <w:link w:val="877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877" w:customStyle="1">
    <w:name w:val="Верхний колонтитул Знак"/>
    <w:basedOn w:val="689"/>
    <w:link w:val="87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78">
    <w:name w:val="Body Text Indent"/>
    <w:basedOn w:val="679"/>
    <w:link w:val="879"/>
    <w:uiPriority w:val="99"/>
    <w:pPr>
      <w:ind w:left="283"/>
      <w:spacing w:before="0" w:after="120"/>
    </w:pPr>
    <w:rPr>
      <w:sz w:val="28"/>
      <w:szCs w:val="28"/>
    </w:rPr>
  </w:style>
  <w:style w:type="character" w:styleId="879" w:customStyle="1">
    <w:name w:val="Основной текст с отступом Знак"/>
    <w:basedOn w:val="689"/>
    <w:link w:val="87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0">
    <w:name w:val="List Paragraph"/>
    <w:basedOn w:val="679"/>
    <w:uiPriority w:val="34"/>
    <w:qFormat/>
    <w:pPr>
      <w:contextualSpacing/>
      <w:ind w:left="720"/>
    </w:pPr>
  </w:style>
  <w:style w:type="paragraph" w:styleId="881" w:customStyle="1">
    <w:name w:val="ConsPlusNormal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0"/>
      <w:lang w:val="en-US" w:eastAsia="zh-CN"/>
    </w:rPr>
  </w:style>
  <w:style w:type="character" w:styleId="882">
    <w:name w:val="annotation reference"/>
    <w:basedOn w:val="689"/>
    <w:uiPriority w:val="99"/>
    <w:semiHidden/>
    <w:unhideWhenUsed/>
    <w:rPr>
      <w:sz w:val="16"/>
      <w:szCs w:val="16"/>
    </w:rPr>
  </w:style>
  <w:style w:type="paragraph" w:styleId="883">
    <w:name w:val="annotation text"/>
    <w:basedOn w:val="679"/>
    <w:link w:val="884"/>
    <w:uiPriority w:val="99"/>
    <w:semiHidden/>
    <w:unhideWhenUsed/>
    <w:rPr>
      <w:sz w:val="20"/>
    </w:rPr>
  </w:style>
  <w:style w:type="character" w:styleId="884" w:customStyle="1">
    <w:name w:val="Текст примечания Знак"/>
    <w:basedOn w:val="689"/>
    <w:link w:val="88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5">
    <w:name w:val="annotation subject"/>
    <w:basedOn w:val="883"/>
    <w:next w:val="883"/>
    <w:link w:val="886"/>
    <w:uiPriority w:val="99"/>
    <w:semiHidden/>
    <w:unhideWhenUsed/>
    <w:rPr>
      <w:b/>
      <w:bCs/>
    </w:rPr>
  </w:style>
  <w:style w:type="character" w:styleId="886" w:customStyle="1">
    <w:name w:val="Тема примечания Знак"/>
    <w:basedOn w:val="884"/>
    <w:link w:val="88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87">
    <w:name w:val="Balloon Text"/>
    <w:basedOn w:val="679"/>
    <w:link w:val="888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styleId="888" w:customStyle="1">
    <w:name w:val="Текст выноски Знак"/>
    <w:basedOn w:val="689"/>
    <w:link w:val="88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D05A9-0ED8-4454-BCCC-1755CFBB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РФ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Цыдыпова Дарья Эдуардовна</dc:creator>
  <cp:keywords/>
  <dc:description/>
  <cp:revision>16</cp:revision>
  <dcterms:created xsi:type="dcterms:W3CDTF">2026-05-29T03:04:00Z</dcterms:created>
  <dcterms:modified xsi:type="dcterms:W3CDTF">2026-06-01T03:38:20Z</dcterms:modified>
</cp:coreProperties>
</file>